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黑体"/>
          <w:b/>
          <w:spacing w:val="60"/>
          <w:position w:val="-2"/>
        </w:rPr>
      </w:pPr>
      <w:r>
        <w:rPr>
          <w:rFonts w:hint="eastAsia" w:ascii="宋体" w:hAnsi="宋体" w:cs="黑体"/>
          <w:b/>
          <w:spacing w:val="60"/>
          <w:position w:val="-2"/>
        </w:rPr>
        <w:t>附件3：</w:t>
      </w:r>
    </w:p>
    <w:p>
      <w:pPr>
        <w:spacing w:before="60" w:beforeLines="25" w:after="60" w:afterLines="25" w:line="0" w:lineRule="atLeast"/>
        <w:jc w:val="center"/>
        <w:rPr>
          <w:rFonts w:cs="宋体"/>
          <w:b/>
        </w:rPr>
      </w:pPr>
      <w:r>
        <w:rPr>
          <w:rFonts w:hint="eastAsia" w:cs="宋体"/>
          <w:b/>
        </w:rPr>
        <w:t>申请信息安全/信息技术服务管理体系认证组织需补充提交的资料及确认的信息</w:t>
      </w:r>
    </w:p>
    <w:p>
      <w:pPr>
        <w:spacing w:before="60" w:beforeLines="25" w:after="60" w:afterLines="25" w:line="0" w:lineRule="atLeast"/>
        <w:rPr>
          <w:rFonts w:cs="宋体"/>
          <w:b/>
        </w:rPr>
      </w:pPr>
    </w:p>
    <w:tbl>
      <w:tblPr>
        <w:tblStyle w:val="4"/>
        <w:tblW w:w="10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331"/>
        <w:gridCol w:w="5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709" w:type="dxa"/>
            <w:tcBorders>
              <w:left w:val="single" w:color="auto" w:sz="4" w:space="0"/>
              <w:right w:val="single" w:color="auto" w:sz="4" w:space="0"/>
            </w:tcBorders>
            <w:vAlign w:val="center"/>
          </w:tcPr>
          <w:p>
            <w:pPr>
              <w:spacing w:line="480" w:lineRule="auto"/>
            </w:pPr>
            <w:r>
              <w:rPr>
                <w:rFonts w:hint="eastAsia" w:cs="宋体"/>
                <w:b/>
              </w:rPr>
              <w:t>序号</w:t>
            </w:r>
          </w:p>
        </w:tc>
        <w:tc>
          <w:tcPr>
            <w:tcW w:w="4331" w:type="dxa"/>
            <w:tcBorders>
              <w:left w:val="single" w:color="auto" w:sz="4" w:space="0"/>
              <w:right w:val="single" w:color="auto" w:sz="4" w:space="0"/>
            </w:tcBorders>
            <w:vAlign w:val="center"/>
          </w:tcPr>
          <w:p>
            <w:pPr>
              <w:spacing w:line="480" w:lineRule="auto"/>
            </w:pPr>
            <w:r>
              <w:rPr>
                <w:rFonts w:hint="eastAsia" w:cs="宋体"/>
                <w:b/>
              </w:rPr>
              <w:t>需提供资料及需要确认的信息</w:t>
            </w:r>
          </w:p>
        </w:tc>
        <w:tc>
          <w:tcPr>
            <w:tcW w:w="5266" w:type="dxa"/>
            <w:tcBorders>
              <w:top w:val="single" w:color="auto" w:sz="4" w:space="0"/>
              <w:left w:val="single" w:color="auto" w:sz="4" w:space="0"/>
              <w:bottom w:val="single" w:color="auto" w:sz="4" w:space="0"/>
              <w:right w:val="single" w:color="auto" w:sz="6" w:space="0"/>
            </w:tcBorders>
            <w:vAlign w:val="center"/>
          </w:tcPr>
          <w:p>
            <w:pPr>
              <w:spacing w:before="60" w:beforeLines="25" w:after="60" w:afterLines="25" w:line="480" w:lineRule="auto"/>
            </w:pPr>
            <w:r>
              <w:rPr>
                <w:rFonts w:hint="eastAsia" w:cs="宋体"/>
                <w:b/>
              </w:rPr>
              <w:t>要求或填写内容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709" w:type="dxa"/>
            <w:tcBorders>
              <w:left w:val="single" w:color="auto" w:sz="4" w:space="0"/>
              <w:right w:val="single" w:color="auto" w:sz="4" w:space="0"/>
            </w:tcBorders>
            <w:vAlign w:val="center"/>
          </w:tcPr>
          <w:p>
            <w:pPr>
              <w:spacing w:line="480" w:lineRule="auto"/>
            </w:pPr>
            <w:r>
              <w:rPr>
                <w:rFonts w:hint="eastAsia"/>
              </w:rPr>
              <w:t>1</w:t>
            </w:r>
          </w:p>
        </w:tc>
        <w:tc>
          <w:tcPr>
            <w:tcW w:w="4331" w:type="dxa"/>
            <w:tcBorders>
              <w:left w:val="single" w:color="auto" w:sz="4" w:space="0"/>
              <w:right w:val="single" w:color="auto" w:sz="4" w:space="0"/>
            </w:tcBorders>
            <w:vAlign w:val="center"/>
          </w:tcPr>
          <w:p>
            <w:pPr>
              <w:spacing w:line="480" w:lineRule="auto"/>
            </w:pPr>
            <w:r>
              <w:rPr>
                <w:rFonts w:hint="eastAsia"/>
              </w:rPr>
              <w:t>信息资产清单（适用于ISMS）</w:t>
            </w:r>
          </w:p>
        </w:tc>
        <w:tc>
          <w:tcPr>
            <w:tcW w:w="5266" w:type="dxa"/>
            <w:tcBorders>
              <w:top w:val="single" w:color="auto" w:sz="4" w:space="0"/>
              <w:left w:val="single" w:color="auto" w:sz="4" w:space="0"/>
              <w:bottom w:val="single" w:color="auto" w:sz="4" w:space="0"/>
              <w:right w:val="single" w:color="auto" w:sz="6" w:space="0"/>
            </w:tcBorders>
            <w:vAlign w:val="center"/>
          </w:tcPr>
          <w:p>
            <w:pPr>
              <w:spacing w:before="60" w:beforeLines="25" w:after="60" w:afterLines="25" w:line="48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709" w:type="dxa"/>
            <w:tcBorders>
              <w:left w:val="single" w:color="auto" w:sz="4" w:space="0"/>
              <w:right w:val="single" w:color="auto" w:sz="4" w:space="0"/>
            </w:tcBorders>
            <w:vAlign w:val="center"/>
          </w:tcPr>
          <w:p>
            <w:pPr>
              <w:spacing w:line="480" w:lineRule="auto"/>
            </w:pPr>
            <w:r>
              <w:rPr>
                <w:rFonts w:hint="eastAsia"/>
              </w:rPr>
              <w:t>2</w:t>
            </w:r>
          </w:p>
        </w:tc>
        <w:tc>
          <w:tcPr>
            <w:tcW w:w="4331" w:type="dxa"/>
            <w:tcBorders>
              <w:left w:val="single" w:color="auto" w:sz="4" w:space="0"/>
              <w:right w:val="single" w:color="auto" w:sz="4" w:space="0"/>
            </w:tcBorders>
            <w:vAlign w:val="center"/>
          </w:tcPr>
          <w:p>
            <w:pPr>
              <w:spacing w:line="480" w:lineRule="auto"/>
            </w:pPr>
            <w:r>
              <w:rPr>
                <w:rFonts w:hint="eastAsia"/>
              </w:rPr>
              <w:t>适用性声明（适用于ISMS）</w:t>
            </w:r>
          </w:p>
        </w:tc>
        <w:tc>
          <w:tcPr>
            <w:tcW w:w="5266" w:type="dxa"/>
            <w:tcBorders>
              <w:top w:val="single" w:color="auto" w:sz="4" w:space="0"/>
              <w:left w:val="single" w:color="auto" w:sz="4" w:space="0"/>
              <w:bottom w:val="single" w:color="auto" w:sz="4" w:space="0"/>
              <w:right w:val="single" w:color="auto" w:sz="6" w:space="0"/>
            </w:tcBorders>
            <w:vAlign w:val="center"/>
          </w:tcPr>
          <w:p>
            <w:pPr>
              <w:spacing w:before="60" w:beforeLines="25" w:after="60" w:afterLines="25" w:line="48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709" w:type="dxa"/>
            <w:tcBorders>
              <w:left w:val="single" w:color="auto" w:sz="4" w:space="0"/>
              <w:right w:val="single" w:color="auto" w:sz="4" w:space="0"/>
            </w:tcBorders>
            <w:vAlign w:val="center"/>
          </w:tcPr>
          <w:p>
            <w:pPr>
              <w:spacing w:line="480" w:lineRule="auto"/>
            </w:pPr>
            <w:r>
              <w:rPr>
                <w:rFonts w:hint="eastAsia"/>
              </w:rPr>
              <w:t>3</w:t>
            </w:r>
          </w:p>
        </w:tc>
        <w:tc>
          <w:tcPr>
            <w:tcW w:w="4331" w:type="dxa"/>
            <w:tcBorders>
              <w:left w:val="single" w:color="auto" w:sz="4" w:space="0"/>
              <w:right w:val="single" w:color="auto" w:sz="4" w:space="0"/>
            </w:tcBorders>
            <w:vAlign w:val="center"/>
          </w:tcPr>
          <w:p>
            <w:pPr>
              <w:spacing w:line="480" w:lineRule="auto"/>
            </w:pPr>
            <w:r>
              <w:rPr>
                <w:rFonts w:hint="eastAsia"/>
              </w:rPr>
              <w:t>服务级别协议项目清单(ITSMS)</w:t>
            </w:r>
          </w:p>
        </w:tc>
        <w:tc>
          <w:tcPr>
            <w:tcW w:w="5266" w:type="dxa"/>
            <w:tcBorders>
              <w:top w:val="single" w:color="auto" w:sz="4" w:space="0"/>
              <w:left w:val="single" w:color="auto" w:sz="4" w:space="0"/>
              <w:bottom w:val="single" w:color="auto" w:sz="4" w:space="0"/>
              <w:right w:val="single" w:color="auto" w:sz="6" w:space="0"/>
            </w:tcBorders>
            <w:vAlign w:val="center"/>
          </w:tcPr>
          <w:p>
            <w:pPr>
              <w:spacing w:before="60" w:beforeLines="25" w:after="60" w:afterLines="25" w:line="48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709" w:type="dxa"/>
            <w:tcBorders>
              <w:left w:val="single" w:color="auto" w:sz="4" w:space="0"/>
              <w:right w:val="single" w:color="auto" w:sz="4" w:space="0"/>
            </w:tcBorders>
            <w:vAlign w:val="center"/>
          </w:tcPr>
          <w:p>
            <w:pPr>
              <w:spacing w:line="480" w:lineRule="auto"/>
            </w:pPr>
            <w:r>
              <w:rPr>
                <w:rFonts w:hint="eastAsia"/>
              </w:rPr>
              <w:t>4</w:t>
            </w:r>
          </w:p>
        </w:tc>
        <w:tc>
          <w:tcPr>
            <w:tcW w:w="4331" w:type="dxa"/>
            <w:tcBorders>
              <w:left w:val="single" w:color="auto" w:sz="4" w:space="0"/>
              <w:right w:val="single" w:color="auto" w:sz="4" w:space="0"/>
            </w:tcBorders>
            <w:vAlign w:val="top"/>
          </w:tcPr>
          <w:p>
            <w:pPr>
              <w:spacing w:line="480" w:lineRule="auto"/>
            </w:pPr>
            <w:r>
              <w:rPr>
                <w:rFonts w:hint="eastAsia"/>
              </w:rPr>
              <w:t>是否属于工信部联协</w:t>
            </w:r>
            <w:r>
              <w:t xml:space="preserve">[2010]394 </w:t>
            </w:r>
            <w:r>
              <w:rPr>
                <w:rFonts w:hint="eastAsia"/>
              </w:rPr>
              <w:t>号文《关于加强信息安全管理体系认证安全管理的通知》及各地方及行业主管部门要求中需要进行认证备案的组织</w:t>
            </w:r>
          </w:p>
        </w:tc>
        <w:tc>
          <w:tcPr>
            <w:tcW w:w="5266" w:type="dxa"/>
            <w:tcBorders>
              <w:top w:val="single" w:color="auto" w:sz="4" w:space="0"/>
              <w:left w:val="single" w:color="auto" w:sz="4" w:space="0"/>
              <w:bottom w:val="single" w:color="auto" w:sz="4" w:space="0"/>
              <w:right w:val="single" w:color="auto" w:sz="6" w:space="0"/>
            </w:tcBorders>
            <w:vAlign w:val="top"/>
          </w:tcPr>
          <w:p>
            <w:pPr>
              <w:spacing w:before="60" w:beforeLines="25" w:after="60" w:afterLines="25" w:line="480" w:lineRule="auto"/>
            </w:pPr>
            <w:r>
              <w:rPr>
                <w:rFonts w:hint="eastAsia"/>
                <w:color w:val="000000"/>
                <w:lang w:eastAsia="zh-CN"/>
              </w:rPr>
              <w:t>□</w:t>
            </w:r>
            <w:r>
              <w:rPr>
                <w:rFonts w:hint="eastAsia"/>
                <w:color w:val="000000"/>
              </w:rPr>
              <w:t xml:space="preserve"> </w:t>
            </w:r>
            <w:r>
              <w:rPr>
                <w:rFonts w:hint="eastAsia"/>
              </w:rPr>
              <w:t>否，请说明理由</w:t>
            </w:r>
          </w:p>
          <w:p>
            <w:pPr>
              <w:spacing w:before="60" w:beforeLines="25" w:after="60" w:afterLines="25" w:line="480" w:lineRule="auto"/>
            </w:pPr>
            <w:r>
              <w:rPr>
                <w:rFonts w:hint="eastAsia"/>
                <w:color w:val="000000"/>
                <w:lang w:eastAsia="zh-CN"/>
              </w:rPr>
              <w:t>□</w:t>
            </w:r>
            <w:r>
              <w:rPr>
                <w:rFonts w:hint="eastAsia"/>
                <w:color w:val="000000"/>
              </w:rPr>
              <w:t xml:space="preserve"> </w:t>
            </w:r>
            <w:r>
              <w:rPr>
                <w:rFonts w:hint="eastAsia"/>
              </w:rPr>
              <w:t>是，请提交备案资料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jc w:val="center"/>
        </w:trPr>
        <w:tc>
          <w:tcPr>
            <w:tcW w:w="709" w:type="dxa"/>
            <w:tcBorders>
              <w:left w:val="single" w:color="auto" w:sz="4" w:space="0"/>
              <w:right w:val="single" w:color="auto" w:sz="4" w:space="0"/>
            </w:tcBorders>
            <w:vAlign w:val="center"/>
          </w:tcPr>
          <w:p>
            <w:pPr>
              <w:spacing w:line="480" w:lineRule="auto"/>
            </w:pPr>
            <w:r>
              <w:rPr>
                <w:rFonts w:hint="eastAsia"/>
              </w:rPr>
              <w:t>5</w:t>
            </w:r>
          </w:p>
        </w:tc>
        <w:tc>
          <w:tcPr>
            <w:tcW w:w="4331" w:type="dxa"/>
            <w:tcBorders>
              <w:left w:val="single" w:color="auto" w:sz="4" w:space="0"/>
              <w:right w:val="single" w:color="auto" w:sz="4" w:space="0"/>
            </w:tcBorders>
            <w:vAlign w:val="top"/>
          </w:tcPr>
          <w:p>
            <w:pPr>
              <w:spacing w:line="480" w:lineRule="auto"/>
            </w:pPr>
            <w:r>
              <w:rPr>
                <w:rFonts w:hint="eastAsia"/>
              </w:rPr>
              <w:t xml:space="preserve">是否同意认证机构在审核等过程中接触组织的相关信息资产  </w:t>
            </w:r>
          </w:p>
        </w:tc>
        <w:tc>
          <w:tcPr>
            <w:tcW w:w="5266" w:type="dxa"/>
            <w:tcBorders>
              <w:top w:val="single" w:color="auto" w:sz="4" w:space="0"/>
              <w:left w:val="single" w:color="auto" w:sz="4" w:space="0"/>
              <w:bottom w:val="single" w:color="auto" w:sz="4" w:space="0"/>
              <w:right w:val="single" w:color="auto" w:sz="6" w:space="0"/>
            </w:tcBorders>
            <w:vAlign w:val="top"/>
          </w:tcPr>
          <w:p>
            <w:pPr>
              <w:spacing w:before="60" w:beforeLines="25" w:after="60" w:afterLines="25" w:line="480" w:lineRule="auto"/>
            </w:pPr>
            <w:r>
              <w:rPr>
                <w:rFonts w:hint="eastAsia"/>
                <w:color w:val="000000"/>
                <w:lang w:eastAsia="zh-CN"/>
              </w:rPr>
              <w:t>□</w:t>
            </w:r>
            <w:r>
              <w:rPr>
                <w:rFonts w:hint="eastAsia"/>
                <w:color w:val="000000"/>
              </w:rPr>
              <w:t xml:space="preserve"> </w:t>
            </w:r>
            <w:r>
              <w:rPr>
                <w:rFonts w:hint="eastAsia"/>
              </w:rPr>
              <w:t>否，请说明理由：</w:t>
            </w:r>
          </w:p>
          <w:p>
            <w:pPr>
              <w:spacing w:before="60" w:beforeLines="25" w:after="60" w:afterLines="25" w:line="480" w:lineRule="auto"/>
            </w:pPr>
            <w:r>
              <w:rPr>
                <w:rFonts w:hint="eastAsia"/>
                <w:color w:val="000000"/>
                <w:lang w:eastAsia="zh-CN"/>
              </w:rPr>
              <w:t>□</w:t>
            </w:r>
            <w:r>
              <w:rPr>
                <w:rFonts w:hint="eastAsia"/>
                <w:color w:val="000000"/>
              </w:rPr>
              <w:t xml:space="preserve"> </w:t>
            </w:r>
            <w:r>
              <w:rPr>
                <w:rFonts w:hint="eastAsia"/>
              </w:rPr>
              <w:t xml:space="preserve">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9" w:type="dxa"/>
            <w:tcBorders>
              <w:left w:val="single" w:color="auto" w:sz="4" w:space="0"/>
              <w:right w:val="single" w:color="auto" w:sz="4" w:space="0"/>
            </w:tcBorders>
            <w:vAlign w:val="center"/>
          </w:tcPr>
          <w:p>
            <w:pPr>
              <w:spacing w:line="480" w:lineRule="auto"/>
            </w:pPr>
            <w:r>
              <w:rPr>
                <w:rFonts w:hint="eastAsia"/>
              </w:rPr>
              <w:t>6</w:t>
            </w:r>
          </w:p>
        </w:tc>
        <w:tc>
          <w:tcPr>
            <w:tcW w:w="4331" w:type="dxa"/>
            <w:tcBorders>
              <w:left w:val="single" w:color="auto" w:sz="4" w:space="0"/>
              <w:right w:val="single" w:color="auto" w:sz="4" w:space="0"/>
            </w:tcBorders>
            <w:vAlign w:val="top"/>
          </w:tcPr>
          <w:p>
            <w:pPr>
              <w:spacing w:before="60" w:beforeLines="25" w:after="60" w:afterLines="25" w:line="480" w:lineRule="auto"/>
            </w:pPr>
            <w:r>
              <w:rPr>
                <w:rFonts w:hint="eastAsia"/>
              </w:rPr>
              <w:t xml:space="preserve">是否具有保密和敏感信息  </w:t>
            </w:r>
          </w:p>
          <w:p>
            <w:pPr>
              <w:spacing w:line="480" w:lineRule="auto"/>
            </w:pPr>
          </w:p>
        </w:tc>
        <w:tc>
          <w:tcPr>
            <w:tcW w:w="5266" w:type="dxa"/>
            <w:tcBorders>
              <w:top w:val="single" w:color="auto" w:sz="4" w:space="0"/>
              <w:left w:val="single" w:color="auto" w:sz="4" w:space="0"/>
              <w:bottom w:val="single" w:color="auto" w:sz="4" w:space="0"/>
              <w:right w:val="single" w:color="auto" w:sz="6" w:space="0"/>
            </w:tcBorders>
            <w:vAlign w:val="top"/>
          </w:tcPr>
          <w:p>
            <w:pPr>
              <w:spacing w:before="60" w:beforeLines="25" w:after="60" w:afterLines="25" w:line="480" w:lineRule="auto"/>
            </w:pPr>
            <w:r>
              <w:rPr>
                <w:rFonts w:hint="eastAsia"/>
                <w:color w:val="000000"/>
                <w:lang w:eastAsia="zh-CN"/>
              </w:rPr>
              <w:t>□</w:t>
            </w:r>
            <w:r>
              <w:rPr>
                <w:rFonts w:hint="eastAsia"/>
                <w:color w:val="000000"/>
              </w:rPr>
              <w:t xml:space="preserve"> </w:t>
            </w:r>
            <w:r>
              <w:rPr>
                <w:rFonts w:hint="eastAsia"/>
              </w:rPr>
              <w:t xml:space="preserve">否  </w:t>
            </w:r>
          </w:p>
          <w:p>
            <w:pPr>
              <w:spacing w:before="60" w:beforeLines="25" w:after="60" w:afterLines="25" w:line="480" w:lineRule="auto"/>
            </w:pPr>
            <w:r>
              <w:rPr>
                <w:rFonts w:hint="eastAsia"/>
                <w:color w:val="000000"/>
                <w:lang w:eastAsia="zh-CN"/>
              </w:rPr>
              <w:t>□</w:t>
            </w:r>
            <w:r>
              <w:rPr>
                <w:rFonts w:hint="eastAsia"/>
                <w:color w:val="000000"/>
              </w:rPr>
              <w:t xml:space="preserve"> </w:t>
            </w:r>
            <w:r>
              <w:rPr>
                <w:rFonts w:hint="eastAsia"/>
              </w:rPr>
              <w:t xml:space="preserve">是，请提交认证机构不可触及的相关保密和敏感信息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jc w:val="center"/>
        </w:trPr>
        <w:tc>
          <w:tcPr>
            <w:tcW w:w="709" w:type="dxa"/>
            <w:tcBorders>
              <w:left w:val="single" w:color="auto" w:sz="4" w:space="0"/>
              <w:right w:val="single" w:color="auto" w:sz="4" w:space="0"/>
            </w:tcBorders>
            <w:vAlign w:val="center"/>
          </w:tcPr>
          <w:p>
            <w:pPr>
              <w:spacing w:line="480" w:lineRule="auto"/>
            </w:pPr>
            <w:r>
              <w:rPr>
                <w:rFonts w:hint="eastAsia"/>
              </w:rPr>
              <w:t>7</w:t>
            </w:r>
          </w:p>
        </w:tc>
        <w:tc>
          <w:tcPr>
            <w:tcW w:w="9597" w:type="dxa"/>
            <w:gridSpan w:val="2"/>
            <w:tcBorders>
              <w:left w:val="single" w:color="auto" w:sz="4" w:space="0"/>
              <w:right w:val="single" w:color="auto" w:sz="6" w:space="0"/>
            </w:tcBorders>
            <w:vAlign w:val="top"/>
          </w:tcPr>
          <w:p>
            <w:pPr>
              <w:spacing w:before="60" w:beforeLines="25" w:after="60" w:afterLines="25" w:line="480" w:lineRule="auto"/>
            </w:pPr>
            <w:r>
              <w:rPr>
                <w:rFonts w:hint="eastAsia"/>
              </w:rPr>
              <w:t>体系运行以来服务级别协议（SLA）数量：</w:t>
            </w:r>
            <w:r>
              <w:rPr>
                <w:rFonts w:hint="eastAsia"/>
                <w:u w:val="single"/>
                <w:lang w:val="en-US" w:eastAsia="zh-CN"/>
              </w:rPr>
              <w:t xml:space="preserve">        </w:t>
            </w:r>
            <w:r>
              <w:rPr>
                <w:rFonts w:hint="eastAsia"/>
              </w:rPr>
              <w:t>个；体系覆盖范围内供应商数量：</w:t>
            </w:r>
            <w:r>
              <w:rPr>
                <w:rFonts w:hint="eastAsia"/>
                <w:u w:val="single"/>
                <w:lang w:val="en-US" w:eastAsia="zh-CN"/>
              </w:rPr>
              <w:t xml:space="preserve">        </w:t>
            </w:r>
            <w:r>
              <w:rPr>
                <w:rFonts w:hint="eastAsia"/>
              </w:rPr>
              <w:t>个</w:t>
            </w:r>
          </w:p>
          <w:p>
            <w:pPr>
              <w:spacing w:before="60" w:beforeLines="25" w:after="60" w:afterLines="25" w:line="480" w:lineRule="auto"/>
            </w:pPr>
            <w:r>
              <w:rPr>
                <w:rFonts w:hint="eastAsia"/>
              </w:rPr>
              <w:t xml:space="preserve">（适用于ITSMS）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9" w:type="dxa"/>
            <w:tcBorders>
              <w:left w:val="single" w:color="auto" w:sz="4" w:space="0"/>
              <w:right w:val="single" w:color="auto" w:sz="4" w:space="0"/>
            </w:tcBorders>
            <w:vAlign w:val="center"/>
          </w:tcPr>
          <w:p>
            <w:pPr>
              <w:spacing w:line="480" w:lineRule="auto"/>
            </w:pPr>
            <w:r>
              <w:rPr>
                <w:rFonts w:hint="eastAsia"/>
              </w:rPr>
              <w:t>8</w:t>
            </w:r>
          </w:p>
        </w:tc>
        <w:tc>
          <w:tcPr>
            <w:tcW w:w="9597" w:type="dxa"/>
            <w:gridSpan w:val="2"/>
            <w:tcBorders>
              <w:left w:val="single" w:color="auto" w:sz="4" w:space="0"/>
              <w:right w:val="single" w:color="auto" w:sz="6" w:space="0"/>
            </w:tcBorders>
            <w:vAlign w:val="top"/>
          </w:tcPr>
          <w:p>
            <w:pPr>
              <w:spacing w:before="60" w:beforeLines="25" w:after="60" w:afterLines="25" w:line="480" w:lineRule="auto"/>
              <w:rPr>
                <w:rFonts w:hint="default" w:eastAsiaTheme="minorEastAsia"/>
                <w:u w:val="single"/>
                <w:lang w:val="en-US" w:eastAsia="zh-CN"/>
              </w:rPr>
            </w:pPr>
            <w:r>
              <w:rPr>
                <w:rFonts w:hint="eastAsia"/>
              </w:rPr>
              <w:t>对认证机构的资质、诚信守法记录或认证人员身份背景的要求，以及适用的与保守国家秘密或维护国家安全有关的法律法规最新要求：</w:t>
            </w:r>
            <w:r>
              <w:rPr>
                <w:rFonts w:hint="eastAsia"/>
                <w:u w:val="single"/>
                <w:lang w:val="en-US" w:eastAsia="zh-CN"/>
              </w:rPr>
              <w:t xml:space="preserve">                                                        </w:t>
            </w:r>
          </w:p>
          <w:p>
            <w:pPr>
              <w:spacing w:before="60" w:beforeLines="25" w:after="60" w:afterLines="25" w:line="480" w:lineRule="auto"/>
            </w:pPr>
            <w:r>
              <w:rPr>
                <w:rFonts w:hint="eastAsia"/>
              </w:rPr>
              <w:t>（适用于ISMS）</w:t>
            </w:r>
          </w:p>
        </w:tc>
      </w:tr>
    </w:tbl>
    <w:p>
      <w:pPr>
        <w:spacing w:line="300" w:lineRule="exact"/>
        <w:rPr>
          <w:rFonts w:ascii="宋体" w:hAnsi="宋体" w:cs="黑体"/>
          <w:b/>
          <w:spacing w:val="60"/>
          <w:position w:val="-2"/>
        </w:rPr>
      </w:pPr>
    </w:p>
    <w:p>
      <w:pPr>
        <w:jc w:val="both"/>
        <w:rPr>
          <w:rFonts w:hint="eastAsia"/>
          <w:b/>
          <w:sz w:val="30"/>
          <w:szCs w:val="30"/>
        </w:rPr>
      </w:pPr>
    </w:p>
    <w:p>
      <w:pPr>
        <w:jc w:val="center"/>
        <w:rPr>
          <w:b/>
          <w:sz w:val="30"/>
          <w:szCs w:val="30"/>
        </w:rPr>
      </w:pPr>
      <w:r>
        <w:rPr>
          <w:rFonts w:hint="eastAsia"/>
          <w:b/>
          <w:sz w:val="30"/>
          <w:szCs w:val="30"/>
        </w:rPr>
        <w:t>ISMS复杂程度表</w:t>
      </w:r>
      <w:r>
        <w:rPr>
          <w:rFonts w:hint="eastAsia"/>
        </w:rPr>
        <w:t>（适用于ISMS）</w:t>
      </w:r>
    </w:p>
    <w:tbl>
      <w:tblPr>
        <w:tblStyle w:val="4"/>
        <w:tblW w:w="10490" w:type="dxa"/>
        <w:tblInd w:w="108" w:type="dxa"/>
        <w:tblLayout w:type="fixed"/>
        <w:tblCellMar>
          <w:top w:w="0" w:type="dxa"/>
          <w:left w:w="108" w:type="dxa"/>
          <w:bottom w:w="0" w:type="dxa"/>
          <w:right w:w="108" w:type="dxa"/>
        </w:tblCellMar>
      </w:tblPr>
      <w:tblGrid>
        <w:gridCol w:w="426"/>
        <w:gridCol w:w="1701"/>
        <w:gridCol w:w="8363"/>
      </w:tblGrid>
      <w:tr>
        <w:tblPrEx>
          <w:tblCellMar>
            <w:top w:w="0" w:type="dxa"/>
            <w:left w:w="108" w:type="dxa"/>
            <w:bottom w:w="0" w:type="dxa"/>
            <w:right w:w="108" w:type="dxa"/>
          </w:tblCellMar>
        </w:tblPrEx>
        <w:trPr>
          <w:trHeight w:val="105" w:hRule="atLeast"/>
        </w:trPr>
        <w:tc>
          <w:tcPr>
            <w:tcW w:w="2127" w:type="dxa"/>
            <w:gridSpan w:val="2"/>
            <w:tcBorders>
              <w:top w:val="single" w:color="auto" w:sz="4" w:space="0"/>
              <w:left w:val="single" w:color="auto" w:sz="4" w:space="0"/>
              <w:bottom w:val="single" w:color="auto" w:sz="4" w:space="0"/>
              <w:right w:val="single" w:color="auto" w:sz="4" w:space="0"/>
            </w:tcBorders>
            <w:vAlign w:val="top"/>
          </w:tcPr>
          <w:p>
            <w:pPr>
              <w:pStyle w:val="6"/>
              <w:jc w:val="center"/>
              <w:rPr>
                <w:b/>
                <w:sz w:val="22"/>
              </w:rPr>
            </w:pPr>
            <w:r>
              <w:rPr>
                <w:b/>
                <w:sz w:val="22"/>
              </w:rPr>
              <w:t>类</w:t>
            </w:r>
            <w:r>
              <w:rPr>
                <w:rFonts w:hint="eastAsia"/>
                <w:b/>
                <w:sz w:val="22"/>
              </w:rPr>
              <w:t xml:space="preserve">    </w:t>
            </w:r>
            <w:r>
              <w:rPr>
                <w:b/>
                <w:sz w:val="22"/>
              </w:rPr>
              <w:t>别</w:t>
            </w:r>
          </w:p>
        </w:tc>
        <w:tc>
          <w:tcPr>
            <w:tcW w:w="8363" w:type="dxa"/>
            <w:tcBorders>
              <w:top w:val="single" w:color="auto" w:sz="4" w:space="0"/>
              <w:left w:val="single" w:color="auto" w:sz="4" w:space="0"/>
              <w:bottom w:val="single" w:color="auto" w:sz="4" w:space="0"/>
              <w:right w:val="single" w:color="auto" w:sz="4" w:space="0"/>
            </w:tcBorders>
            <w:vAlign w:val="top"/>
          </w:tcPr>
          <w:p>
            <w:pPr>
              <w:pStyle w:val="6"/>
              <w:jc w:val="center"/>
              <w:rPr>
                <w:b/>
                <w:sz w:val="22"/>
              </w:rPr>
            </w:pPr>
            <w:r>
              <w:rPr>
                <w:rFonts w:hint="eastAsia"/>
                <w:b/>
                <w:sz w:val="22"/>
              </w:rPr>
              <w:t>因      素</w:t>
            </w:r>
          </w:p>
        </w:tc>
      </w:tr>
      <w:tr>
        <w:tblPrEx>
          <w:tblCellMar>
            <w:top w:w="0" w:type="dxa"/>
            <w:left w:w="108" w:type="dxa"/>
            <w:bottom w:w="0" w:type="dxa"/>
            <w:right w:w="108" w:type="dxa"/>
          </w:tblCellMar>
        </w:tblPrEx>
        <w:trPr>
          <w:trHeight w:val="1332" w:hRule="atLeast"/>
        </w:trPr>
        <w:tc>
          <w:tcPr>
            <w:tcW w:w="426" w:type="dxa"/>
            <w:vMerge w:val="restart"/>
            <w:tcBorders>
              <w:top w:val="single" w:color="auto" w:sz="4" w:space="0"/>
              <w:left w:val="single" w:color="auto" w:sz="4" w:space="0"/>
              <w:right w:val="single" w:color="auto" w:sz="4" w:space="0"/>
            </w:tcBorders>
            <w:vAlign w:val="center"/>
          </w:tcPr>
          <w:p>
            <w:pPr>
              <w:pStyle w:val="6"/>
              <w:jc w:val="center"/>
              <w:rPr>
                <w:b/>
                <w:sz w:val="22"/>
              </w:rPr>
            </w:pPr>
            <w:r>
              <w:rPr>
                <w:rFonts w:hint="eastAsia"/>
                <w:b/>
                <w:sz w:val="22"/>
              </w:rPr>
              <w:t>业务复杂性</w:t>
            </w:r>
          </w:p>
        </w:tc>
        <w:tc>
          <w:tcPr>
            <w:tcW w:w="1701"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center"/>
              <w:textAlignment w:val="auto"/>
              <w:rPr>
                <w:sz w:val="22"/>
              </w:rPr>
            </w:pPr>
            <w:r>
              <w:rPr>
                <w:sz w:val="22"/>
              </w:rPr>
              <w:t>业务类型和法规要求</w:t>
            </w:r>
          </w:p>
        </w:tc>
        <w:tc>
          <w:tcPr>
            <w:tcW w:w="8363" w:type="dxa"/>
            <w:tcBorders>
              <w:top w:val="single" w:color="auto" w:sz="4" w:space="0"/>
              <w:left w:val="single" w:color="auto" w:sz="4" w:space="0"/>
              <w:bottom w:val="single" w:color="auto" w:sz="4" w:space="0"/>
              <w:right w:val="single" w:color="auto" w:sz="4" w:space="0"/>
            </w:tcBorders>
            <w:vAlign w:val="top"/>
          </w:tcPr>
          <w:p>
            <w:pPr>
              <w:pStyle w:val="6"/>
              <w:keepNext w:val="0"/>
              <w:keepLines w:val="0"/>
              <w:pageBreakBefore w:val="0"/>
              <w:widowControl w:val="0"/>
              <w:kinsoku/>
              <w:wordWrap/>
              <w:overflowPunct/>
              <w:topLinePunct w:val="0"/>
              <w:autoSpaceDE w:val="0"/>
              <w:autoSpaceDN w:val="0"/>
              <w:bidi w:val="0"/>
              <w:adjustRightInd w:val="0"/>
              <w:snapToGrid/>
              <w:spacing w:line="400" w:lineRule="atLeast"/>
              <w:textAlignment w:val="auto"/>
              <w:rPr>
                <w:rFonts w:ascii="Times New Roman" w:cs="Times New Roman"/>
                <w:sz w:val="21"/>
              </w:rPr>
            </w:pPr>
            <w:r>
              <w:rPr>
                <w:rFonts w:hint="eastAsia"/>
                <w:color w:val="000000"/>
                <w:lang w:eastAsia="zh-CN"/>
              </w:rPr>
              <w:t>□</w:t>
            </w:r>
            <w:r>
              <w:rPr>
                <w:rFonts w:hint="eastAsia"/>
                <w:color w:val="000000"/>
              </w:rPr>
              <w:t xml:space="preserve"> </w:t>
            </w:r>
            <w:r>
              <w:rPr>
                <w:rFonts w:hint="eastAsia" w:hAnsi="宋体"/>
                <w:sz w:val="21"/>
              </w:rPr>
              <w:t>1.</w:t>
            </w:r>
            <w:r>
              <w:rPr>
                <w:sz w:val="21"/>
              </w:rPr>
              <w:t>组织所处的是一个非关键业务领域，且不受管制的领域。</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textAlignment w:val="auto"/>
              <w:rPr>
                <w:rFonts w:ascii="Times New Roman" w:cs="Times New Roman"/>
                <w:sz w:val="21"/>
              </w:rPr>
            </w:pPr>
            <w:r>
              <w:rPr>
                <w:rFonts w:hint="eastAsia"/>
                <w:color w:val="000000"/>
                <w:lang w:eastAsia="zh-CN"/>
              </w:rPr>
              <w:t>□</w:t>
            </w:r>
            <w:r>
              <w:rPr>
                <w:rFonts w:hint="eastAsia"/>
                <w:color w:val="000000"/>
              </w:rPr>
              <w:t xml:space="preserve"> </w:t>
            </w:r>
            <w:r>
              <w:rPr>
                <w:rFonts w:hint="eastAsia" w:hAnsi="宋体"/>
                <w:sz w:val="21"/>
              </w:rPr>
              <w:t>2.</w:t>
            </w:r>
            <w:r>
              <w:rPr>
                <w:sz w:val="21"/>
              </w:rPr>
              <w:t>组织的客户处于关键业务领域；</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textAlignment w:val="auto"/>
              <w:rPr>
                <w:rFonts w:ascii="Times New Roman" w:cs="Times New Roman"/>
                <w:sz w:val="21"/>
              </w:rPr>
            </w:pPr>
            <w:r>
              <w:rPr>
                <w:rFonts w:hint="eastAsia"/>
                <w:color w:val="000000"/>
                <w:lang w:eastAsia="zh-CN"/>
              </w:rPr>
              <w:t>□</w:t>
            </w:r>
            <w:r>
              <w:rPr>
                <w:rFonts w:hint="eastAsia"/>
                <w:color w:val="000000"/>
              </w:rPr>
              <w:t xml:space="preserve"> </w:t>
            </w:r>
            <w:r>
              <w:rPr>
                <w:rFonts w:hint="eastAsia" w:hAnsi="宋体"/>
                <w:sz w:val="21"/>
              </w:rPr>
              <w:t>3.</w:t>
            </w:r>
            <w:r>
              <w:rPr>
                <w:sz w:val="21"/>
              </w:rPr>
              <w:t>组织处于关键业务领域；</w:t>
            </w:r>
          </w:p>
        </w:tc>
      </w:tr>
      <w:tr>
        <w:trPr>
          <w:trHeight w:val="2075" w:hRule="atLeast"/>
        </w:trPr>
        <w:tc>
          <w:tcPr>
            <w:tcW w:w="426" w:type="dxa"/>
            <w:vMerge w:val="continue"/>
            <w:tcBorders>
              <w:left w:val="single" w:color="auto" w:sz="4" w:space="0"/>
              <w:right w:val="single" w:color="auto" w:sz="4" w:space="0"/>
            </w:tcBorders>
            <w:vAlign w:val="top"/>
          </w:tcPr>
          <w:p>
            <w:pPr>
              <w:pStyle w:val="6"/>
              <w:jc w:val="right"/>
              <w:rPr>
                <w:sz w:val="22"/>
              </w:rPr>
            </w:pPr>
          </w:p>
        </w:tc>
        <w:tc>
          <w:tcPr>
            <w:tcW w:w="1701" w:type="dxa"/>
            <w:tcBorders>
              <w:top w:val="single" w:color="auto" w:sz="4" w:space="0"/>
              <w:left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center"/>
              <w:textAlignment w:val="auto"/>
              <w:rPr>
                <w:sz w:val="22"/>
              </w:rPr>
            </w:pPr>
            <w:r>
              <w:rPr>
                <w:sz w:val="22"/>
              </w:rPr>
              <w:t>过程与任务</w:t>
            </w:r>
          </w:p>
        </w:tc>
        <w:tc>
          <w:tcPr>
            <w:tcW w:w="8363" w:type="dxa"/>
            <w:tcBorders>
              <w:top w:val="single" w:color="auto" w:sz="4" w:space="0"/>
              <w:left w:val="single" w:color="auto" w:sz="4" w:space="0"/>
              <w:right w:val="single" w:color="auto" w:sz="4" w:space="0"/>
            </w:tcBorders>
            <w:vAlign w:val="top"/>
          </w:tcPr>
          <w:p>
            <w:pPr>
              <w:pStyle w:val="6"/>
              <w:keepNext w:val="0"/>
              <w:keepLines w:val="0"/>
              <w:pageBreakBefore w:val="0"/>
              <w:widowControl w:val="0"/>
              <w:kinsoku/>
              <w:wordWrap/>
              <w:overflowPunct/>
              <w:topLinePunct w:val="0"/>
              <w:autoSpaceDE w:val="0"/>
              <w:autoSpaceDN w:val="0"/>
              <w:bidi w:val="0"/>
              <w:adjustRightInd w:val="0"/>
              <w:snapToGrid/>
              <w:spacing w:line="400" w:lineRule="atLeast"/>
              <w:ind w:left="240" w:hanging="240"/>
              <w:jc w:val="both"/>
              <w:textAlignment w:val="auto"/>
              <w:rPr>
                <w:rFonts w:ascii="Times New Roman" w:cs="Times New Roman"/>
                <w:sz w:val="21"/>
              </w:rPr>
            </w:pPr>
            <w:r>
              <w:rPr>
                <w:rFonts w:hint="eastAsia"/>
                <w:color w:val="000000"/>
                <w:lang w:eastAsia="zh-CN"/>
              </w:rPr>
              <w:t>□</w:t>
            </w:r>
            <w:r>
              <w:rPr>
                <w:rFonts w:hint="eastAsia"/>
                <w:color w:val="000000"/>
              </w:rPr>
              <w:t xml:space="preserve"> </w:t>
            </w:r>
            <w:r>
              <w:rPr>
                <w:rFonts w:hint="eastAsia" w:hAnsi="宋体"/>
                <w:sz w:val="21"/>
              </w:rPr>
              <w:t>1.</w:t>
            </w:r>
            <w:r>
              <w:rPr>
                <w:rFonts w:ascii="Times New Roman" w:cs="Times New Roman"/>
                <w:sz w:val="21"/>
              </w:rPr>
              <w:t>一般的过程，涉及一般的且重复性的任务；大量在组织控制下工作的人员从事相同的任务；很少的产品或服务；</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both"/>
              <w:textAlignment w:val="auto"/>
              <w:rPr>
                <w:rFonts w:ascii="Times New Roman" w:cs="Times New Roman"/>
                <w:sz w:val="21"/>
              </w:rPr>
            </w:pPr>
            <w:r>
              <w:rPr>
                <w:rFonts w:hint="eastAsia"/>
                <w:color w:val="000000"/>
                <w:lang w:eastAsia="zh-CN"/>
              </w:rPr>
              <w:t>□</w:t>
            </w:r>
            <w:r>
              <w:rPr>
                <w:rFonts w:hint="eastAsia"/>
                <w:color w:val="000000"/>
              </w:rPr>
              <w:t xml:space="preserve"> </w:t>
            </w:r>
            <w:r>
              <w:rPr>
                <w:rFonts w:hint="eastAsia" w:hAnsi="宋体"/>
                <w:sz w:val="21"/>
              </w:rPr>
              <w:t>2.</w:t>
            </w:r>
            <w:r>
              <w:rPr>
                <w:rFonts w:ascii="Times New Roman" w:cs="Times New Roman"/>
                <w:sz w:val="21"/>
              </w:rPr>
              <w:t>一般的但不重复的过程，涉及大量的产品或服务。</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ind w:left="240" w:hanging="240"/>
              <w:jc w:val="both"/>
              <w:textAlignment w:val="auto"/>
              <w:rPr>
                <w:rFonts w:cs="Times New Roman"/>
                <w:color w:val="auto"/>
                <w:sz w:val="21"/>
              </w:rPr>
            </w:pPr>
            <w:r>
              <w:rPr>
                <w:rFonts w:hint="eastAsia"/>
                <w:color w:val="000000"/>
                <w:lang w:eastAsia="zh-CN"/>
              </w:rPr>
              <w:t>□</w:t>
            </w:r>
            <w:r>
              <w:rPr>
                <w:rFonts w:hint="eastAsia"/>
                <w:color w:val="000000"/>
              </w:rPr>
              <w:t xml:space="preserve"> </w:t>
            </w:r>
            <w:r>
              <w:rPr>
                <w:rFonts w:hint="eastAsia" w:hAnsi="宋体"/>
                <w:sz w:val="21"/>
              </w:rPr>
              <w:t>3.</w:t>
            </w:r>
            <w:r>
              <w:rPr>
                <w:rFonts w:ascii="Times New Roman" w:cs="Times New Roman"/>
                <w:sz w:val="21"/>
              </w:rPr>
              <w:t>复杂的过程，大量的产品和服务，许多业务单元包含在认证范围内（ISMS涉及复杂性高的过程，或数量相对较大的活动，或独特的活动）。</w:t>
            </w:r>
          </w:p>
        </w:tc>
      </w:tr>
      <w:tr>
        <w:trPr>
          <w:trHeight w:val="1362" w:hRule="atLeast"/>
        </w:trPr>
        <w:tc>
          <w:tcPr>
            <w:tcW w:w="426" w:type="dxa"/>
            <w:vMerge w:val="continue"/>
            <w:tcBorders>
              <w:left w:val="single" w:color="auto" w:sz="4" w:space="0"/>
              <w:bottom w:val="single" w:color="auto" w:sz="4" w:space="0"/>
              <w:right w:val="single" w:color="auto" w:sz="4" w:space="0"/>
            </w:tcBorders>
            <w:vAlign w:val="top"/>
          </w:tcPr>
          <w:p>
            <w:pPr>
              <w:pStyle w:val="6"/>
              <w:jc w:val="right"/>
              <w:rPr>
                <w:sz w:val="22"/>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center"/>
              <w:textAlignment w:val="auto"/>
              <w:rPr>
                <w:sz w:val="22"/>
              </w:rPr>
            </w:pPr>
            <w:r>
              <w:rPr>
                <w:sz w:val="22"/>
              </w:rPr>
              <w:t>管理体系的建立水平</w:t>
            </w:r>
          </w:p>
        </w:tc>
        <w:tc>
          <w:tcPr>
            <w:tcW w:w="8363" w:type="dxa"/>
            <w:tcBorders>
              <w:top w:val="single" w:color="auto" w:sz="4" w:space="0"/>
              <w:left w:val="single" w:color="auto" w:sz="4" w:space="0"/>
              <w:bottom w:val="single" w:color="auto" w:sz="4" w:space="0"/>
              <w:right w:val="single" w:color="auto" w:sz="4" w:space="0"/>
            </w:tcBorders>
            <w:vAlign w:val="top"/>
          </w:tcPr>
          <w:p>
            <w:pPr>
              <w:pStyle w:val="6"/>
              <w:keepNext w:val="0"/>
              <w:keepLines w:val="0"/>
              <w:pageBreakBefore w:val="0"/>
              <w:widowControl w:val="0"/>
              <w:kinsoku/>
              <w:wordWrap/>
              <w:overflowPunct/>
              <w:topLinePunct w:val="0"/>
              <w:autoSpaceDE w:val="0"/>
              <w:autoSpaceDN w:val="0"/>
              <w:bidi w:val="0"/>
              <w:adjustRightInd w:val="0"/>
              <w:snapToGrid/>
              <w:spacing w:line="400" w:lineRule="atLeast"/>
              <w:textAlignment w:val="auto"/>
              <w:rPr>
                <w:sz w:val="21"/>
              </w:rPr>
            </w:pPr>
            <w:r>
              <w:rPr>
                <w:rFonts w:hint="eastAsia"/>
                <w:color w:val="000000"/>
                <w:lang w:eastAsia="zh-CN"/>
              </w:rPr>
              <w:t>□</w:t>
            </w:r>
            <w:r>
              <w:rPr>
                <w:rFonts w:hint="eastAsia"/>
                <w:color w:val="000000"/>
              </w:rPr>
              <w:t xml:space="preserve"> </w:t>
            </w:r>
            <w:r>
              <w:rPr>
                <w:rFonts w:hint="eastAsia" w:hAnsi="宋体"/>
                <w:sz w:val="21"/>
              </w:rPr>
              <w:t>1.</w:t>
            </w:r>
            <w:r>
              <w:rPr>
                <w:sz w:val="21"/>
              </w:rPr>
              <w:t>已经很好地建立了</w:t>
            </w:r>
            <w:r>
              <w:rPr>
                <w:rFonts w:ascii="Times New Roman" w:cs="Times New Roman"/>
                <w:sz w:val="21"/>
              </w:rPr>
              <w:t>ISMS</w:t>
            </w:r>
            <w:r>
              <w:rPr>
                <w:sz w:val="21"/>
              </w:rPr>
              <w:t>，和（或）存在其他管理体系；</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textAlignment w:val="auto"/>
              <w:rPr>
                <w:sz w:val="21"/>
              </w:rPr>
            </w:pPr>
            <w:r>
              <w:rPr>
                <w:rFonts w:hint="eastAsia"/>
                <w:color w:val="000000"/>
                <w:lang w:eastAsia="zh-CN"/>
              </w:rPr>
              <w:t>□</w:t>
            </w:r>
            <w:r>
              <w:rPr>
                <w:rFonts w:hint="eastAsia"/>
                <w:color w:val="000000"/>
              </w:rPr>
              <w:t xml:space="preserve"> </w:t>
            </w:r>
            <w:r>
              <w:rPr>
                <w:rFonts w:hint="eastAsia" w:hAnsi="宋体"/>
                <w:sz w:val="21"/>
              </w:rPr>
              <w:t>2.</w:t>
            </w:r>
            <w:r>
              <w:rPr>
                <w:sz w:val="21"/>
              </w:rPr>
              <w:t>其他管理体系的要素，有些已经实施，有些没有实施；</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textAlignment w:val="auto"/>
              <w:rPr>
                <w:sz w:val="21"/>
              </w:rPr>
            </w:pPr>
            <w:r>
              <w:rPr>
                <w:rFonts w:hint="eastAsia"/>
                <w:color w:val="000000"/>
                <w:lang w:eastAsia="zh-CN"/>
              </w:rPr>
              <w:t>□</w:t>
            </w:r>
            <w:r>
              <w:rPr>
                <w:rFonts w:hint="eastAsia"/>
                <w:color w:val="000000"/>
              </w:rPr>
              <w:t xml:space="preserve"> </w:t>
            </w:r>
            <w:r>
              <w:rPr>
                <w:rFonts w:hint="eastAsia" w:hAnsi="宋体"/>
                <w:sz w:val="21"/>
              </w:rPr>
              <w:t>3.</w:t>
            </w:r>
            <w:r>
              <w:rPr>
                <w:sz w:val="21"/>
              </w:rPr>
              <w:t>根本没有实施其他管理体系，</w:t>
            </w:r>
            <w:r>
              <w:rPr>
                <w:rFonts w:ascii="Times New Roman" w:cs="Times New Roman"/>
                <w:sz w:val="21"/>
              </w:rPr>
              <w:t>ISMS</w:t>
            </w:r>
            <w:r>
              <w:rPr>
                <w:sz w:val="21"/>
              </w:rPr>
              <w:t>是新且没有建立。</w:t>
            </w:r>
          </w:p>
        </w:tc>
      </w:tr>
      <w:tr>
        <w:trPr>
          <w:trHeight w:val="1451" w:hRule="atLeast"/>
        </w:trPr>
        <w:tc>
          <w:tcPr>
            <w:tcW w:w="426" w:type="dxa"/>
            <w:vMerge w:val="restart"/>
            <w:tcBorders>
              <w:top w:val="single" w:color="auto" w:sz="4" w:space="0"/>
              <w:left w:val="single" w:color="auto" w:sz="4" w:space="0"/>
              <w:right w:val="single" w:color="auto" w:sz="4" w:space="0"/>
            </w:tcBorders>
            <w:vAlign w:val="center"/>
          </w:tcPr>
          <w:p>
            <w:pPr>
              <w:pStyle w:val="6"/>
              <w:jc w:val="center"/>
              <w:rPr>
                <w:b/>
                <w:sz w:val="22"/>
              </w:rPr>
            </w:pPr>
            <w:r>
              <w:rPr>
                <w:rFonts w:hint="eastAsia"/>
                <w:b/>
                <w:sz w:val="22"/>
              </w:rPr>
              <w:t>IT复杂性</w:t>
            </w:r>
          </w:p>
        </w:tc>
        <w:tc>
          <w:tcPr>
            <w:tcW w:w="1701"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center"/>
              <w:textAlignment w:val="auto"/>
              <w:rPr>
                <w:sz w:val="22"/>
              </w:rPr>
            </w:pPr>
            <w:r>
              <w:rPr>
                <w:rFonts w:ascii="Times New Roman" w:cs="Times New Roman"/>
                <w:sz w:val="22"/>
              </w:rPr>
              <w:t>IT</w:t>
            </w:r>
            <w:r>
              <w:rPr>
                <w:sz w:val="22"/>
              </w:rPr>
              <w:t>基础设施的复杂程度</w:t>
            </w:r>
          </w:p>
        </w:tc>
        <w:tc>
          <w:tcPr>
            <w:tcW w:w="8363" w:type="dxa"/>
            <w:tcBorders>
              <w:top w:val="single" w:color="auto" w:sz="4" w:space="0"/>
              <w:left w:val="single" w:color="auto" w:sz="4" w:space="0"/>
              <w:bottom w:val="single" w:color="auto" w:sz="4" w:space="0"/>
              <w:right w:val="single" w:color="auto" w:sz="4" w:space="0"/>
            </w:tcBorders>
            <w:vAlign w:val="top"/>
          </w:tcPr>
          <w:p>
            <w:pPr>
              <w:pStyle w:val="6"/>
              <w:keepNext w:val="0"/>
              <w:keepLines w:val="0"/>
              <w:pageBreakBefore w:val="0"/>
              <w:widowControl w:val="0"/>
              <w:kinsoku/>
              <w:wordWrap/>
              <w:overflowPunct/>
              <w:topLinePunct w:val="0"/>
              <w:autoSpaceDE w:val="0"/>
              <w:autoSpaceDN w:val="0"/>
              <w:bidi w:val="0"/>
              <w:adjustRightInd w:val="0"/>
              <w:snapToGrid/>
              <w:spacing w:line="400" w:lineRule="atLeast"/>
              <w:ind w:left="240" w:hanging="240"/>
              <w:jc w:val="both"/>
              <w:textAlignment w:val="auto"/>
              <w:rPr>
                <w:sz w:val="21"/>
              </w:rPr>
            </w:pPr>
            <w:r>
              <w:rPr>
                <w:rFonts w:hint="eastAsia"/>
                <w:color w:val="000000"/>
                <w:lang w:eastAsia="zh-CN"/>
              </w:rPr>
              <w:t>□</w:t>
            </w:r>
            <w:r>
              <w:rPr>
                <w:rFonts w:hint="eastAsia"/>
                <w:color w:val="000000"/>
              </w:rPr>
              <w:t xml:space="preserve"> </w:t>
            </w:r>
            <w:r>
              <w:rPr>
                <w:rFonts w:hint="eastAsia" w:hAnsi="宋体"/>
                <w:sz w:val="21"/>
              </w:rPr>
              <w:t>1.</w:t>
            </w:r>
            <w:r>
              <w:rPr>
                <w:sz w:val="21"/>
              </w:rPr>
              <w:t>很少的或高度标准化的</w:t>
            </w:r>
            <w:r>
              <w:rPr>
                <w:rFonts w:ascii="Times New Roman" w:cs="Times New Roman"/>
                <w:sz w:val="21"/>
              </w:rPr>
              <w:t>IT</w:t>
            </w:r>
            <w:r>
              <w:rPr>
                <w:sz w:val="21"/>
              </w:rPr>
              <w:t>平台、服务器、操作系统、数据库、网络等；</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both"/>
              <w:textAlignment w:val="auto"/>
              <w:rPr>
                <w:sz w:val="21"/>
              </w:rPr>
            </w:pPr>
            <w:r>
              <w:rPr>
                <w:rFonts w:hint="eastAsia"/>
                <w:color w:val="000000"/>
                <w:lang w:eastAsia="zh-CN"/>
              </w:rPr>
              <w:t>□</w:t>
            </w:r>
            <w:r>
              <w:rPr>
                <w:rFonts w:hint="eastAsia"/>
                <w:color w:val="000000"/>
              </w:rPr>
              <w:t xml:space="preserve"> </w:t>
            </w:r>
            <w:r>
              <w:rPr>
                <w:rFonts w:hint="eastAsia" w:hAnsi="宋体"/>
                <w:sz w:val="21"/>
              </w:rPr>
              <w:t>2.</w:t>
            </w:r>
            <w:r>
              <w:rPr>
                <w:sz w:val="21"/>
              </w:rPr>
              <w:t>多个不同的</w:t>
            </w:r>
            <w:r>
              <w:rPr>
                <w:rFonts w:ascii="Times New Roman" w:cs="Times New Roman"/>
                <w:sz w:val="21"/>
              </w:rPr>
              <w:t>IT</w:t>
            </w:r>
            <w:r>
              <w:rPr>
                <w:sz w:val="21"/>
              </w:rPr>
              <w:t>平台，服务器、操作系统、数据库、网络；</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both"/>
              <w:textAlignment w:val="auto"/>
              <w:rPr>
                <w:sz w:val="21"/>
              </w:rPr>
            </w:pPr>
            <w:r>
              <w:rPr>
                <w:rFonts w:hint="eastAsia"/>
                <w:color w:val="000000"/>
                <w:lang w:eastAsia="zh-CN"/>
              </w:rPr>
              <w:t>□</w:t>
            </w:r>
            <w:r>
              <w:rPr>
                <w:rFonts w:hint="eastAsia"/>
                <w:color w:val="000000"/>
              </w:rPr>
              <w:t xml:space="preserve"> </w:t>
            </w:r>
            <w:r>
              <w:rPr>
                <w:rFonts w:hint="eastAsia" w:hAnsi="宋体"/>
                <w:sz w:val="21"/>
              </w:rPr>
              <w:t>3.</w:t>
            </w:r>
            <w:r>
              <w:rPr>
                <w:sz w:val="21"/>
              </w:rPr>
              <w:t>很多不同的</w:t>
            </w:r>
            <w:r>
              <w:rPr>
                <w:rFonts w:ascii="Times New Roman" w:cs="Times New Roman"/>
                <w:sz w:val="21"/>
              </w:rPr>
              <w:t>IT</w:t>
            </w:r>
            <w:r>
              <w:rPr>
                <w:sz w:val="21"/>
              </w:rPr>
              <w:t>平台、服务器、操作系统、数据库、网络。</w:t>
            </w:r>
          </w:p>
        </w:tc>
      </w:tr>
      <w:tr>
        <w:trPr>
          <w:trHeight w:val="1855" w:hRule="atLeast"/>
        </w:trPr>
        <w:tc>
          <w:tcPr>
            <w:tcW w:w="426" w:type="dxa"/>
            <w:vMerge w:val="continue"/>
            <w:tcBorders>
              <w:left w:val="single" w:color="auto" w:sz="4" w:space="0"/>
              <w:right w:val="single" w:color="auto" w:sz="4" w:space="0"/>
            </w:tcBorders>
            <w:vAlign w:val="top"/>
          </w:tcPr>
          <w:p>
            <w:pPr>
              <w:pStyle w:val="6"/>
              <w:jc w:val="right"/>
              <w:rPr>
                <w:sz w:val="22"/>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center"/>
              <w:textAlignment w:val="auto"/>
              <w:rPr>
                <w:sz w:val="22"/>
              </w:rPr>
            </w:pPr>
            <w:r>
              <w:rPr>
                <w:sz w:val="22"/>
              </w:rPr>
              <w:t>对外包和供应商（包括云服务）的依赖程度</w:t>
            </w:r>
          </w:p>
        </w:tc>
        <w:tc>
          <w:tcPr>
            <w:tcW w:w="8363" w:type="dxa"/>
            <w:tcBorders>
              <w:top w:val="single" w:color="auto" w:sz="4" w:space="0"/>
              <w:left w:val="single" w:color="auto" w:sz="4" w:space="0"/>
              <w:bottom w:val="single" w:color="auto" w:sz="4" w:space="0"/>
              <w:right w:val="single" w:color="auto" w:sz="4" w:space="0"/>
            </w:tcBorders>
            <w:vAlign w:val="top"/>
          </w:tcPr>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both"/>
              <w:textAlignment w:val="auto"/>
              <w:rPr>
                <w:sz w:val="21"/>
              </w:rPr>
            </w:pPr>
            <w:r>
              <w:rPr>
                <w:rFonts w:hint="eastAsia"/>
                <w:color w:val="000000"/>
                <w:lang w:eastAsia="zh-CN"/>
              </w:rPr>
              <w:t>□</w:t>
            </w:r>
            <w:r>
              <w:rPr>
                <w:rFonts w:hint="eastAsia"/>
                <w:color w:val="000000"/>
              </w:rPr>
              <w:t xml:space="preserve"> </w:t>
            </w:r>
            <w:r>
              <w:rPr>
                <w:rFonts w:hint="eastAsia" w:hAnsi="宋体"/>
                <w:sz w:val="21"/>
              </w:rPr>
              <w:t>1.</w:t>
            </w:r>
            <w:r>
              <w:rPr>
                <w:sz w:val="21"/>
              </w:rPr>
              <w:t>很少或不依赖外包或供应商；</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ind w:left="240" w:hanging="240"/>
              <w:jc w:val="both"/>
              <w:textAlignment w:val="auto"/>
              <w:rPr>
                <w:sz w:val="21"/>
              </w:rPr>
            </w:pPr>
            <w:r>
              <w:rPr>
                <w:rFonts w:hint="eastAsia"/>
                <w:color w:val="000000"/>
                <w:lang w:eastAsia="zh-CN"/>
              </w:rPr>
              <w:t>□</w:t>
            </w:r>
            <w:r>
              <w:rPr>
                <w:rFonts w:hint="eastAsia"/>
                <w:color w:val="000000"/>
              </w:rPr>
              <w:t xml:space="preserve"> </w:t>
            </w:r>
            <w:r>
              <w:rPr>
                <w:rFonts w:hint="eastAsia" w:hAnsi="宋体"/>
                <w:sz w:val="21"/>
              </w:rPr>
              <w:t>2.</w:t>
            </w:r>
            <w:r>
              <w:rPr>
                <w:sz w:val="21"/>
              </w:rPr>
              <w:t>有些依赖外包或供应商，这些外包或供应商与某些重要业务活动相关，但不是与所有的重要业务活动相关；</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ind w:left="240" w:hanging="240"/>
              <w:jc w:val="both"/>
              <w:textAlignment w:val="auto"/>
              <w:rPr>
                <w:sz w:val="21"/>
              </w:rPr>
            </w:pPr>
            <w:r>
              <w:rPr>
                <w:rFonts w:hint="eastAsia"/>
                <w:color w:val="000000"/>
                <w:lang w:eastAsia="zh-CN"/>
              </w:rPr>
              <w:t>□</w:t>
            </w:r>
            <w:r>
              <w:rPr>
                <w:rFonts w:hint="eastAsia"/>
                <w:color w:val="000000"/>
              </w:rPr>
              <w:t xml:space="preserve"> </w:t>
            </w:r>
            <w:r>
              <w:rPr>
                <w:rFonts w:hint="eastAsia" w:hAnsi="宋体"/>
                <w:sz w:val="21"/>
              </w:rPr>
              <w:t>3.</w:t>
            </w:r>
            <w:r>
              <w:rPr>
                <w:sz w:val="21"/>
              </w:rPr>
              <w:t>高度依赖外包</w:t>
            </w:r>
            <w:bookmarkStart w:id="0" w:name="_GoBack"/>
            <w:bookmarkEnd w:id="0"/>
            <w:r>
              <w:rPr>
                <w:sz w:val="21"/>
              </w:rPr>
              <w:t>或供应商，外包或供应商对重要业务活动有着很大影响。</w:t>
            </w:r>
          </w:p>
        </w:tc>
      </w:tr>
      <w:tr>
        <w:trPr>
          <w:trHeight w:val="1362" w:hRule="atLeast"/>
        </w:trPr>
        <w:tc>
          <w:tcPr>
            <w:tcW w:w="426" w:type="dxa"/>
            <w:vMerge w:val="continue"/>
            <w:tcBorders>
              <w:left w:val="single" w:color="auto" w:sz="4" w:space="0"/>
              <w:bottom w:val="single" w:color="auto" w:sz="4" w:space="0"/>
              <w:right w:val="single" w:color="auto" w:sz="4" w:space="0"/>
            </w:tcBorders>
            <w:vAlign w:val="top"/>
          </w:tcPr>
          <w:p>
            <w:pPr>
              <w:pStyle w:val="6"/>
              <w:jc w:val="right"/>
              <w:rPr>
                <w:rFonts w:ascii="Times New Roman" w:cs="Times New Roman"/>
                <w:sz w:val="22"/>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val="0"/>
              <w:autoSpaceDN w:val="0"/>
              <w:bidi w:val="0"/>
              <w:adjustRightInd w:val="0"/>
              <w:snapToGrid/>
              <w:spacing w:line="400" w:lineRule="atLeast"/>
              <w:jc w:val="center"/>
              <w:textAlignment w:val="auto"/>
              <w:rPr>
                <w:rFonts w:ascii="Times New Roman" w:cs="Times New Roman"/>
                <w:sz w:val="22"/>
              </w:rPr>
            </w:pPr>
            <w:r>
              <w:rPr>
                <w:sz w:val="22"/>
              </w:rPr>
              <w:t>信息系统开发</w:t>
            </w:r>
          </w:p>
        </w:tc>
        <w:tc>
          <w:tcPr>
            <w:tcW w:w="8363" w:type="dxa"/>
            <w:tcBorders>
              <w:top w:val="single" w:color="auto" w:sz="4" w:space="0"/>
              <w:left w:val="single" w:color="auto" w:sz="4" w:space="0"/>
              <w:bottom w:val="single" w:color="auto" w:sz="4" w:space="0"/>
              <w:right w:val="single" w:color="auto" w:sz="4" w:space="0"/>
            </w:tcBorders>
            <w:vAlign w:val="top"/>
          </w:tcPr>
          <w:p>
            <w:pPr>
              <w:pStyle w:val="6"/>
              <w:keepNext w:val="0"/>
              <w:keepLines w:val="0"/>
              <w:pageBreakBefore w:val="0"/>
              <w:widowControl w:val="0"/>
              <w:kinsoku/>
              <w:wordWrap/>
              <w:overflowPunct/>
              <w:topLinePunct w:val="0"/>
              <w:autoSpaceDE w:val="0"/>
              <w:autoSpaceDN w:val="0"/>
              <w:bidi w:val="0"/>
              <w:adjustRightInd w:val="0"/>
              <w:snapToGrid/>
              <w:spacing w:line="400" w:lineRule="atLeast"/>
              <w:textAlignment w:val="auto"/>
              <w:rPr>
                <w:sz w:val="21"/>
              </w:rPr>
            </w:pPr>
            <w:r>
              <w:rPr>
                <w:rFonts w:hint="eastAsia"/>
                <w:color w:val="000000"/>
                <w:lang w:eastAsia="zh-CN"/>
              </w:rPr>
              <w:t>□</w:t>
            </w:r>
            <w:r>
              <w:rPr>
                <w:rFonts w:hint="eastAsia"/>
                <w:color w:val="000000"/>
              </w:rPr>
              <w:t xml:space="preserve"> </w:t>
            </w:r>
            <w:r>
              <w:rPr>
                <w:rFonts w:hint="eastAsia" w:hAnsi="宋体"/>
                <w:sz w:val="21"/>
              </w:rPr>
              <w:t>1.</w:t>
            </w:r>
            <w:r>
              <w:rPr>
                <w:sz w:val="21"/>
              </w:rPr>
              <w:t>没有或非常有限的内部系统</w:t>
            </w:r>
            <w:r>
              <w:rPr>
                <w:rFonts w:ascii="Times New Roman" w:cs="Times New Roman"/>
                <w:sz w:val="21"/>
              </w:rPr>
              <w:t>/</w:t>
            </w:r>
            <w:r>
              <w:rPr>
                <w:sz w:val="21"/>
              </w:rPr>
              <w:t>应用开发；</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ind w:left="240" w:hanging="240"/>
              <w:textAlignment w:val="auto"/>
              <w:rPr>
                <w:sz w:val="21"/>
              </w:rPr>
            </w:pPr>
            <w:r>
              <w:rPr>
                <w:rFonts w:hint="eastAsia"/>
                <w:color w:val="000000"/>
                <w:lang w:eastAsia="zh-CN"/>
              </w:rPr>
              <w:t>□</w:t>
            </w:r>
            <w:r>
              <w:rPr>
                <w:rFonts w:hint="eastAsia"/>
                <w:color w:val="000000"/>
              </w:rPr>
              <w:t xml:space="preserve"> </w:t>
            </w:r>
            <w:r>
              <w:rPr>
                <w:rFonts w:hint="eastAsia" w:hAnsi="宋体"/>
                <w:sz w:val="21"/>
              </w:rPr>
              <w:t>2.</w:t>
            </w:r>
            <w:r>
              <w:rPr>
                <w:sz w:val="21"/>
              </w:rPr>
              <w:t>有一些服务于某些重要业务目的的、内部的或外包的系统</w:t>
            </w:r>
            <w:r>
              <w:rPr>
                <w:rFonts w:ascii="Times New Roman" w:cs="Times New Roman"/>
                <w:sz w:val="21"/>
              </w:rPr>
              <w:t>/</w:t>
            </w:r>
            <w:r>
              <w:rPr>
                <w:sz w:val="21"/>
              </w:rPr>
              <w:t>应用开发；</w:t>
            </w:r>
          </w:p>
          <w:p>
            <w:pPr>
              <w:pStyle w:val="6"/>
              <w:keepNext w:val="0"/>
              <w:keepLines w:val="0"/>
              <w:pageBreakBefore w:val="0"/>
              <w:widowControl w:val="0"/>
              <w:kinsoku/>
              <w:wordWrap/>
              <w:overflowPunct/>
              <w:topLinePunct w:val="0"/>
              <w:autoSpaceDE w:val="0"/>
              <w:autoSpaceDN w:val="0"/>
              <w:bidi w:val="0"/>
              <w:adjustRightInd w:val="0"/>
              <w:snapToGrid/>
              <w:spacing w:line="400" w:lineRule="atLeast"/>
              <w:ind w:left="240" w:hanging="240"/>
              <w:textAlignment w:val="auto"/>
              <w:rPr>
                <w:rFonts w:cs="Times New Roman"/>
                <w:color w:val="auto"/>
                <w:sz w:val="21"/>
              </w:rPr>
            </w:pPr>
            <w:r>
              <w:rPr>
                <w:rFonts w:hint="eastAsia"/>
                <w:color w:val="000000"/>
                <w:lang w:eastAsia="zh-CN"/>
              </w:rPr>
              <w:t>□</w:t>
            </w:r>
            <w:r>
              <w:rPr>
                <w:rFonts w:hint="eastAsia"/>
                <w:color w:val="000000"/>
              </w:rPr>
              <w:t xml:space="preserve"> </w:t>
            </w:r>
            <w:r>
              <w:rPr>
                <w:rFonts w:hint="eastAsia" w:hAnsi="宋体"/>
                <w:sz w:val="21"/>
              </w:rPr>
              <w:t>3.</w:t>
            </w:r>
            <w:r>
              <w:rPr>
                <w:sz w:val="21"/>
              </w:rPr>
              <w:t>有大量服务于重要业务目的的、内部的或外包的系统</w:t>
            </w:r>
            <w:r>
              <w:rPr>
                <w:rFonts w:ascii="Times New Roman" w:cs="Times New Roman"/>
                <w:sz w:val="21"/>
              </w:rPr>
              <w:t>/</w:t>
            </w:r>
            <w:r>
              <w:rPr>
                <w:sz w:val="21"/>
              </w:rPr>
              <w:t>应用开发。</w:t>
            </w:r>
          </w:p>
        </w:tc>
      </w:tr>
      <w:tr>
        <w:trPr>
          <w:trHeight w:val="773" w:hRule="atLeast"/>
        </w:trPr>
        <w:tc>
          <w:tcPr>
            <w:tcW w:w="10490" w:type="dxa"/>
            <w:gridSpan w:val="3"/>
            <w:tcBorders>
              <w:left w:val="single" w:color="auto" w:sz="4" w:space="0"/>
              <w:bottom w:val="single" w:color="auto" w:sz="4" w:space="0"/>
              <w:right w:val="single" w:color="auto" w:sz="4" w:space="0"/>
            </w:tcBorders>
            <w:vAlign w:val="top"/>
          </w:tcPr>
          <w:p>
            <w:pPr>
              <w:pStyle w:val="6"/>
              <w:spacing w:line="360" w:lineRule="auto"/>
              <w:rPr>
                <w:sz w:val="22"/>
              </w:rPr>
            </w:pPr>
            <w:r>
              <w:rPr>
                <w:rFonts w:hint="eastAsia" w:ascii="Times New Roman" w:cs="Times New Roman"/>
                <w:sz w:val="22"/>
              </w:rPr>
              <w:t>备注：</w:t>
            </w:r>
            <w:r>
              <w:rPr>
                <w:sz w:val="22"/>
              </w:rPr>
              <w:t>关键业务领域是可以影响关键公共服务的领域，这些公共服务将引起健康、安全、经济、形象和政府运行能力的风险，从而可能对国家造成非常重大的负面影响。</w:t>
            </w:r>
          </w:p>
        </w:tc>
      </w:tr>
    </w:tbl>
    <w:p/>
    <w:sectPr>
      <w:headerReference r:id="rId3" w:type="default"/>
      <w:footerReference r:id="rId4" w:type="default"/>
      <w:pgSz w:w="11906" w:h="16838"/>
      <w:pgMar w:top="210" w:right="720" w:bottom="40" w:left="72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创艺简标宋">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eastAsia" w:ascii="创艺简标宋" w:hAnsi="宋体" w:eastAsia="创艺简标宋" w:cs="宋体"/>
        <w:b w:val="0"/>
        <w:bCs w:val="0"/>
        <w:sz w:val="18"/>
        <w:szCs w:val="18"/>
      </w:rPr>
    </w:pPr>
    <w:r>
      <w:rPr>
        <w:rFonts w:hint="eastAsia" w:ascii="宋体" w:hAnsi="宋体" w:eastAsia="宋体" w:cs="宋体"/>
        <w:b w:val="0"/>
        <w:bCs w:val="0"/>
        <w:sz w:val="18"/>
        <w:szCs w:val="18"/>
        <w:lang w:val="en-US" w:eastAsia="zh-CN"/>
      </w:rPr>
      <w:t xml:space="preserve"> 国 兴 中 成 </w:t>
    </w:r>
    <w:r>
      <w:rPr>
        <w:rFonts w:hint="eastAsia" w:ascii="宋体" w:hAnsi="宋体" w:eastAsia="宋体" w:cs="宋体"/>
        <w:b w:val="0"/>
        <w:bCs w:val="0"/>
        <w:sz w:val="18"/>
        <w:szCs w:val="18"/>
        <w:lang w:eastAsia="zh-CN"/>
      </w:rPr>
      <w:t>（北京）</w:t>
    </w:r>
    <w:r>
      <w:rPr>
        <w:rFonts w:hint="eastAsia" w:ascii="宋体" w:hAnsi="宋体" w:eastAsia="宋体" w:cs="宋体"/>
        <w:b w:val="0"/>
        <w:bCs w:val="0"/>
        <w:sz w:val="18"/>
        <w:szCs w:val="18"/>
        <w:lang w:val="en-US" w:eastAsia="zh-CN"/>
      </w:rPr>
      <w:t xml:space="preserve"> </w:t>
    </w:r>
    <w:r>
      <w:rPr>
        <w:rFonts w:hint="eastAsia" w:ascii="宋体" w:hAnsi="宋体" w:eastAsia="宋体" w:cs="宋体"/>
        <w:b w:val="0"/>
        <w:bCs w:val="0"/>
        <w:sz w:val="18"/>
        <w:szCs w:val="18"/>
      </w:rPr>
      <w:t>认证</w:t>
    </w:r>
    <w:r>
      <w:rPr>
        <w:rFonts w:hint="eastAsia" w:ascii="宋体" w:hAnsi="宋体" w:eastAsia="宋体" w:cs="宋体"/>
        <w:b w:val="0"/>
        <w:bCs w:val="0"/>
        <w:sz w:val="18"/>
        <w:szCs w:val="18"/>
        <w:lang w:val="en-US" w:eastAsia="zh-CN"/>
      </w:rPr>
      <w:t xml:space="preserve"> </w:t>
    </w:r>
    <w:r>
      <w:rPr>
        <w:rFonts w:hint="eastAsia" w:ascii="宋体" w:hAnsi="宋体" w:eastAsia="宋体" w:cs="宋体"/>
        <w:b w:val="0"/>
        <w:bCs w:val="0"/>
        <w:sz w:val="18"/>
        <w:szCs w:val="18"/>
      </w:rPr>
      <w:t>有限公司</w:t>
    </w:r>
    <w:r>
      <w:rPr>
        <w:rFonts w:hint="eastAsia" w:ascii="创艺简标宋" w:hAnsi="宋体" w:eastAsia="创艺简标宋" w:cs="宋体"/>
        <w:b w:val="0"/>
        <w:bCs w:val="0"/>
        <w:sz w:val="18"/>
        <w:szCs w:val="18"/>
      </w:rPr>
      <w:t xml:space="preserve"> </w:t>
    </w:r>
  </w:p>
  <w:p>
    <w:pPr>
      <w:pStyle w:val="3"/>
      <w:pBdr>
        <w:bottom w:val="single" w:color="auto" w:sz="4" w:space="1"/>
      </w:pBdr>
    </w:pPr>
    <w:r>
      <w:rPr>
        <w:rFonts w:hint="eastAsia" w:ascii="创艺简标宋" w:hAnsi="宋体" w:eastAsia="创艺简标宋" w:cs="宋体"/>
        <w:b w:val="0"/>
        <w:bCs w:val="0"/>
        <w:sz w:val="18"/>
        <w:szCs w:val="18"/>
        <w:lang w:val="en-US" w:eastAsia="zh-CN"/>
      </w:rPr>
      <w:t xml:space="preserve">  GuoXingZHongCHeng(Beijing)C</w:t>
    </w:r>
    <w:r>
      <w:rPr>
        <w:b w:val="0"/>
        <w:bCs w:val="0"/>
        <w:sz w:val="18"/>
        <w:szCs w:val="18"/>
      </w:rPr>
      <w:t>ertification</w:t>
    </w:r>
    <w:r>
      <w:rPr>
        <w:rFonts w:hint="eastAsia"/>
        <w:b w:val="0"/>
        <w:bCs w:val="0"/>
        <w:sz w:val="18"/>
        <w:szCs w:val="18"/>
        <w:lang w:val="en-US" w:eastAsia="zh-CN"/>
      </w:rPr>
      <w:t xml:space="preserve"> </w:t>
    </w:r>
    <w:r>
      <w:rPr>
        <w:rFonts w:ascii="Arial" w:hAnsi="Arial" w:eastAsia="宋体" w:cs="Arial"/>
        <w:b w:val="0"/>
        <w:bCs w:val="0"/>
        <w:i w:val="0"/>
        <w:caps w:val="0"/>
        <w:color w:val="333333"/>
        <w:spacing w:val="0"/>
        <w:sz w:val="18"/>
        <w:szCs w:val="18"/>
        <w:shd w:val="clear" w:fill="FFFFFF"/>
      </w:rPr>
      <w:t>Co. Ltd</w:t>
    </w:r>
    <w:r>
      <w:rPr>
        <w:rFonts w:hint="eastAsia" w:ascii="Arial" w:hAnsi="Arial" w:eastAsia="宋体" w:cs="Arial"/>
        <w:b w:val="0"/>
        <w:bCs w:val="0"/>
        <w:i w:val="0"/>
        <w:caps w:val="0"/>
        <w:color w:val="333333"/>
        <w:spacing w:val="0"/>
        <w:sz w:val="18"/>
        <w:szCs w:val="18"/>
        <w:shd w:val="clear" w:fill="FFFFFF"/>
        <w:lang w:val="en-US" w:eastAsia="zh-CN"/>
      </w:rPr>
      <w:t xml:space="preserve">                </w:t>
    </w:r>
    <w:r>
      <w:rPr>
        <w:rFonts w:hint="eastAsia" w:ascii="Arial" w:hAnsi="Arial" w:cs="Arial"/>
        <w:b w:val="0"/>
        <w:bCs w:val="0"/>
        <w:i w:val="0"/>
        <w:caps w:val="0"/>
        <w:color w:val="333333"/>
        <w:spacing w:val="0"/>
        <w:sz w:val="18"/>
        <w:szCs w:val="18"/>
        <w:shd w:val="clear" w:fill="FFFFFF"/>
        <w:lang w:val="en-US" w:eastAsia="zh-CN"/>
      </w:rPr>
      <w:t xml:space="preserve">                                  </w:t>
    </w:r>
    <w:r>
      <w:rPr>
        <w:rFonts w:hint="eastAsia" w:ascii="Arial" w:hAnsi="Arial" w:cs="Arial"/>
        <w:color w:val="333333"/>
        <w:szCs w:val="18"/>
        <w:shd w:val="clear" w:color="auto" w:fill="FFFFFF"/>
      </w:rPr>
      <w:t xml:space="preserve"> </w:t>
    </w:r>
    <w:r>
      <w:rPr>
        <w:rFonts w:hint="eastAsia" w:ascii="Arial" w:hAnsi="Arial" w:eastAsia="宋体" w:cs="Arial"/>
        <w:color w:val="333333"/>
        <w:szCs w:val="18"/>
        <w:shd w:val="clear" w:color="auto" w:fill="FFFFFF"/>
      </w:rPr>
      <w:t>GXZC-JL-03R</w:t>
    </w:r>
    <w:r>
      <w:rPr>
        <w:rFonts w:hint="eastAsia" w:ascii="Arial" w:hAnsi="Arial" w:cs="Arial"/>
        <w:color w:val="333333"/>
        <w:szCs w:val="18"/>
        <w:shd w:val="clear" w:color="auto" w:fill="FFFFFF"/>
      </w:rPr>
      <w:t>-01</w:t>
    </w:r>
    <w:r>
      <w:rPr>
        <w:rFonts w:hint="eastAsia" w:ascii="Arial" w:hAnsi="Arial" w:cs="Arial"/>
        <w:color w:val="333333"/>
        <w:szCs w:val="18"/>
        <w:shd w:val="clear" w:color="auto" w:fill="FFFFFF"/>
        <w:lang w:val="en-US" w:eastAsia="zh-CN"/>
      </w:rPr>
      <w:t xml:space="preserve"> </w:t>
    </w:r>
    <w:r>
      <w:rPr>
        <w:rFonts w:hint="eastAsia" w:ascii="Arial" w:hAnsi="Arial" w:cs="Arial"/>
        <w:color w:val="333333"/>
        <w:szCs w:val="18"/>
        <w:shd w:val="clear" w:color="auto" w:fill="FFFFFF"/>
      </w:rPr>
      <w:t xml:space="preserve"> A/0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70D4C"/>
    <w:rsid w:val="54F70D4C"/>
    <w:rsid w:val="5EDE116F"/>
    <w:rsid w:val="61E103F0"/>
    <w:rsid w:val="674977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Default"/>
    <w:qForma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2017-10-20T06:37:00Z</dcterms:created>
  <dc:creator>Administrator</dc:creator>
  <cp:lastModifiedBy>高兴</cp:lastModifiedBy>
  <dcterms:modified xsi:type="dcterms:W3CDTF">2019-10-25T02:27:18Z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